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2A4" w:rsidRDefault="00BE0227">
      <w:pPr>
        <w:jc w:val="right"/>
      </w:pPr>
      <w:r>
        <w:rPr>
          <w:noProof/>
          <w:lang w:val="ru-RU"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-899156</wp:posOffset>
            </wp:positionH>
            <wp:positionV relativeFrom="paragraph">
              <wp:posOffset>-300993</wp:posOffset>
            </wp:positionV>
            <wp:extent cx="2578736" cy="1542419"/>
            <wp:effectExtent l="0" t="0" r="0" b="631"/>
            <wp:wrapNone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8736" cy="1542419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anchor>
        </w:drawing>
      </w:r>
      <w:r>
        <w:rPr>
          <w:rFonts w:cs="Times New Roman"/>
          <w:i/>
        </w:rPr>
        <w:t xml:space="preserve">Усманова ЭА., </w:t>
      </w:r>
    </w:p>
    <w:p w:rsidR="00FA52A4" w:rsidRDefault="00BE0227">
      <w:pPr>
        <w:jc w:val="right"/>
      </w:pPr>
      <w:r>
        <w:rPr>
          <w:rFonts w:cs="Times New Roman"/>
          <w:i/>
          <w:lang w:val="ru-RU"/>
        </w:rPr>
        <w:t xml:space="preserve"> </w:t>
      </w:r>
      <w:r>
        <w:rPr>
          <w:rFonts w:cs="Times New Roman"/>
          <w:i/>
        </w:rPr>
        <w:t xml:space="preserve">Консультант по речевому </w:t>
      </w:r>
      <w:proofErr w:type="gramStart"/>
      <w:r>
        <w:rPr>
          <w:rFonts w:cs="Times New Roman"/>
          <w:i/>
        </w:rPr>
        <w:t>развитию  Консультационного</w:t>
      </w:r>
      <w:proofErr w:type="gramEnd"/>
      <w:r>
        <w:rPr>
          <w:rFonts w:cs="Times New Roman"/>
          <w:i/>
        </w:rPr>
        <w:t xml:space="preserve"> центра </w:t>
      </w:r>
    </w:p>
    <w:p w:rsidR="00FA52A4" w:rsidRDefault="00BE0227">
      <w:pPr>
        <w:jc w:val="right"/>
      </w:pPr>
      <w:r>
        <w:rPr>
          <w:rFonts w:cs="Times New Roman"/>
          <w:i/>
        </w:rPr>
        <w:t>«Первые шаги»- «Беренче адымнар»</w:t>
      </w:r>
      <w:r>
        <w:rPr>
          <w:rFonts w:cs="Times New Roman"/>
          <w:b/>
        </w:rPr>
        <w:t xml:space="preserve">                       </w:t>
      </w:r>
    </w:p>
    <w:p w:rsidR="00FA52A4" w:rsidRDefault="00FA52A4">
      <w:pPr>
        <w:pStyle w:val="Standard"/>
        <w:rPr>
          <w:bCs/>
        </w:rPr>
      </w:pPr>
    </w:p>
    <w:p w:rsidR="00FA52A4" w:rsidRDefault="00FA52A4">
      <w:pPr>
        <w:pStyle w:val="Standard"/>
        <w:jc w:val="center"/>
        <w:rPr>
          <w:b/>
          <w:bCs/>
          <w:i/>
          <w:lang w:val="ru-RU"/>
        </w:rPr>
      </w:pPr>
    </w:p>
    <w:p w:rsidR="00FA52A4" w:rsidRDefault="00FA52A4">
      <w:pPr>
        <w:pStyle w:val="Standard"/>
        <w:jc w:val="center"/>
        <w:rPr>
          <w:b/>
          <w:bCs/>
          <w:i/>
          <w:lang w:val="ru-RU"/>
        </w:rPr>
      </w:pPr>
    </w:p>
    <w:p w:rsidR="00FA52A4" w:rsidRDefault="00FA52A4">
      <w:pPr>
        <w:pStyle w:val="Standard"/>
        <w:jc w:val="center"/>
        <w:rPr>
          <w:b/>
          <w:bCs/>
          <w:i/>
          <w:lang w:val="ru-RU"/>
        </w:rPr>
      </w:pPr>
    </w:p>
    <w:p w:rsidR="00FA52A4" w:rsidRDefault="00FA52A4">
      <w:pPr>
        <w:pStyle w:val="Standard"/>
        <w:jc w:val="center"/>
        <w:rPr>
          <w:b/>
          <w:bCs/>
          <w:i/>
          <w:lang w:val="ru-RU"/>
        </w:rPr>
      </w:pPr>
    </w:p>
    <w:p w:rsidR="00FA52A4" w:rsidRDefault="00BE0227">
      <w:pPr>
        <w:pStyle w:val="Standard"/>
        <w:jc w:val="center"/>
      </w:pPr>
      <w:r>
        <w:rPr>
          <w:b/>
          <w:bCs/>
          <w:i/>
          <w:color w:val="000000"/>
          <w:lang w:val="ru-RU"/>
        </w:rPr>
        <w:t>Тема: «</w:t>
      </w:r>
      <w:r>
        <w:rPr>
          <w:b/>
          <w:bCs/>
          <w:i/>
          <w:color w:val="000000"/>
        </w:rPr>
        <w:t xml:space="preserve">Этапы работы по </w:t>
      </w:r>
      <w:r>
        <w:rPr>
          <w:b/>
          <w:bCs/>
          <w:i/>
          <w:color w:val="000000"/>
          <w:lang w:val="ru-RU"/>
        </w:rPr>
        <w:t>формированию</w:t>
      </w:r>
      <w:r>
        <w:rPr>
          <w:b/>
          <w:bCs/>
          <w:i/>
          <w:color w:val="000000"/>
        </w:rPr>
        <w:t xml:space="preserve"> правильного звукопроизношения</w:t>
      </w:r>
      <w:r>
        <w:rPr>
          <w:b/>
          <w:bCs/>
          <w:i/>
          <w:color w:val="000000"/>
          <w:lang w:val="ru-RU"/>
        </w:rPr>
        <w:t>»</w:t>
      </w:r>
    </w:p>
    <w:p w:rsidR="00FA52A4" w:rsidRDefault="00FA52A4">
      <w:pPr>
        <w:pStyle w:val="Standard"/>
        <w:ind w:firstLine="690"/>
        <w:jc w:val="both"/>
        <w:rPr>
          <w:i/>
          <w:color w:val="000000"/>
        </w:rPr>
      </w:pPr>
    </w:p>
    <w:p w:rsidR="00FA52A4" w:rsidRDefault="00BE0227">
      <w:pPr>
        <w:pStyle w:val="Standard"/>
        <w:ind w:firstLine="690"/>
        <w:jc w:val="both"/>
        <w:rPr>
          <w:color w:val="000000"/>
          <w:lang w:val="ru-RU"/>
        </w:rPr>
      </w:pPr>
      <w:r>
        <w:rPr>
          <w:color w:val="000000"/>
          <w:lang w:val="ru-RU"/>
        </w:rPr>
        <w:t>Обучение звукопроизношению осуществляется в соответствии с этапами работы над звуками, принятыми в логопедии.</w:t>
      </w:r>
    </w:p>
    <w:p w:rsidR="00FA52A4" w:rsidRDefault="004A7D6C">
      <w:pPr>
        <w:pStyle w:val="Standard"/>
        <w:ind w:firstLine="690"/>
        <w:jc w:val="both"/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388CEF3">
            <wp:simplePos x="0" y="0"/>
            <wp:positionH relativeFrom="column">
              <wp:posOffset>123825</wp:posOffset>
            </wp:positionH>
            <wp:positionV relativeFrom="paragraph">
              <wp:posOffset>5715</wp:posOffset>
            </wp:positionV>
            <wp:extent cx="2238375" cy="1492250"/>
            <wp:effectExtent l="0" t="0" r="9525" b="0"/>
            <wp:wrapThrough wrapText="bothSides">
              <wp:wrapPolygon edited="0">
                <wp:start x="0" y="0"/>
                <wp:lineTo x="0" y="21232"/>
                <wp:lineTo x="21508" y="21232"/>
                <wp:lineTo x="21508" y="0"/>
                <wp:lineTo x="0" y="0"/>
              </wp:wrapPolygon>
            </wp:wrapThrough>
            <wp:docPr id="2" name="Рисунок 2" descr="https://o-krohe.ru/images/article/orig/2019/11/logopedicheskie-zanyatiya-dlya-detej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o-krohe.ru/images/article/orig/2019/11/logopedicheskie-zanyatiya-dlya-detej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49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227">
        <w:rPr>
          <w:b/>
          <w:bCs/>
          <w:color w:val="000000"/>
          <w:lang w:val="ru-RU"/>
        </w:rPr>
        <w:t>I этап, подготовительный</w:t>
      </w:r>
      <w:r w:rsidR="00BE0227">
        <w:rPr>
          <w:color w:val="000000"/>
          <w:lang w:val="ru-RU"/>
        </w:rPr>
        <w:t>, предполагающий подготовку речевого аппарата к овладению звуками речи. Он включает подготовку речедвигательного аппарата, его моторики, речевого слуха, речевого дыхания.</w:t>
      </w: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36154714">
            <wp:simplePos x="0" y="0"/>
            <wp:positionH relativeFrom="margin">
              <wp:align>left</wp:align>
            </wp:positionH>
            <wp:positionV relativeFrom="paragraph">
              <wp:posOffset>55880</wp:posOffset>
            </wp:positionV>
            <wp:extent cx="2419350" cy="1654810"/>
            <wp:effectExtent l="0" t="0" r="0" b="2540"/>
            <wp:wrapThrough wrapText="bothSides">
              <wp:wrapPolygon edited="0">
                <wp:start x="0" y="0"/>
                <wp:lineTo x="0" y="21384"/>
                <wp:lineTo x="21430" y="21384"/>
                <wp:lineTo x="21430" y="0"/>
                <wp:lineTo x="0" y="0"/>
              </wp:wrapPolygon>
            </wp:wrapThrough>
            <wp:docPr id="3" name="Рисунок 3" descr="https://xn--h1aaaoag0bf.xn--p1ai/wp-content/uploads/2020/01/logopedicheskoe-obsledovani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xn--h1aaaoag0bf.xn--p1ai/wp-content/uploads/2020/01/logopedicheskoe-obsledovanie-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350" cy="165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227">
        <w:rPr>
          <w:b/>
          <w:bCs/>
          <w:color w:val="000000"/>
        </w:rPr>
        <w:t>II этап - становление звуков речи, или постановка звука.</w:t>
      </w:r>
      <w:r w:rsidR="00BE0227">
        <w:rPr>
          <w:color w:val="000000"/>
        </w:rPr>
        <w:t xml:space="preserve"> 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Постановка звуков начинается с легких по артикуляции звуков и кончается более трудными; последовательность их сохраняется как для фронтальной, так и для индивидуальной работы (шипящие, свистящие, р, л).</w:t>
      </w:r>
    </w:p>
    <w:p w:rsidR="004A7D6C" w:rsidRPr="004A7D6C" w:rsidRDefault="004A7D6C">
      <w:pPr>
        <w:pStyle w:val="Standard"/>
        <w:ind w:firstLine="690"/>
        <w:jc w:val="both"/>
        <w:rPr>
          <w:color w:val="000000"/>
          <w:lang w:val="ru-RU"/>
        </w:rPr>
      </w:pPr>
      <w:r>
        <w:rPr>
          <w:color w:val="000000"/>
          <w:lang w:val="ru-RU"/>
        </w:rPr>
        <w:t>Нужно отметить, что постановкой звуков занимается специалист.</w:t>
      </w: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4A7D6C" w:rsidRDefault="004A7D6C">
      <w:pPr>
        <w:pStyle w:val="Standard"/>
        <w:ind w:firstLine="690"/>
        <w:jc w:val="both"/>
        <w:rPr>
          <w:color w:val="000000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F959947">
            <wp:simplePos x="0" y="0"/>
            <wp:positionH relativeFrom="margin">
              <wp:align>left</wp:align>
            </wp:positionH>
            <wp:positionV relativeFrom="paragraph">
              <wp:posOffset>81915</wp:posOffset>
            </wp:positionV>
            <wp:extent cx="2514600" cy="1686560"/>
            <wp:effectExtent l="0" t="0" r="0" b="8890"/>
            <wp:wrapThrough wrapText="bothSides">
              <wp:wrapPolygon edited="0">
                <wp:start x="0" y="0"/>
                <wp:lineTo x="0" y="21470"/>
                <wp:lineTo x="21436" y="21470"/>
                <wp:lineTo x="21436" y="0"/>
                <wp:lineTo x="0" y="0"/>
              </wp:wrapPolygon>
            </wp:wrapThrough>
            <wp:docPr id="4" name="Рисунок 4" descr="https://static.tildacdn.com/tild3430-3065-4431-b637-663536633037/Speech-Therapy-Plus-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tatic.tildacdn.com/tild3430-3065-4431-b637-663536633037/Speech-Therapy-Plus-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68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E0227">
        <w:rPr>
          <w:b/>
          <w:bCs/>
          <w:color w:val="000000"/>
        </w:rPr>
        <w:t xml:space="preserve">III этап – закрепление и автоматизация звуков. 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Вновь появившийся звук надо поддерживать всеми средствами (одобрение ребенка, поощрение и т.д.). Большую устойчивость звука обеспечивает использование разных анализаторов: слухового - как ведущего, зрительного (показ артикуляции), тактильно-вибрационного (ощущение рукой дрожания гортани), осязательного (ощущение пальцами вытянутых губ), кинестетического (ощущение дрожания кончика языка при звуке р).</w:t>
      </w:r>
    </w:p>
    <w:p w:rsidR="004A7D6C" w:rsidRDefault="004A7D6C">
      <w:pPr>
        <w:pStyle w:val="Standard"/>
        <w:ind w:firstLine="690"/>
        <w:jc w:val="both"/>
        <w:rPr>
          <w:b/>
          <w:bCs/>
          <w:color w:val="000000"/>
        </w:rPr>
      </w:pPr>
    </w:p>
    <w:p w:rsidR="00FA52A4" w:rsidRDefault="00BE0227">
      <w:pPr>
        <w:pStyle w:val="Standard"/>
        <w:ind w:firstLine="690"/>
        <w:jc w:val="both"/>
      </w:pPr>
      <w:r>
        <w:rPr>
          <w:b/>
          <w:bCs/>
          <w:color w:val="000000"/>
        </w:rPr>
        <w:t>IV этап - этап дифференциации смешиваемых звуков</w:t>
      </w:r>
      <w:r>
        <w:rPr>
          <w:color w:val="000000"/>
        </w:rPr>
        <w:t xml:space="preserve">. В основе его лежит дифференцировочное торможение. Работа над дифференциацией звуков начинается только тогда, когда оба смешиваемых звука могут быть правильно произнесены ребенком </w:t>
      </w:r>
      <w:bookmarkStart w:id="0" w:name="_GoBack"/>
      <w:r w:rsidR="004A7D6C"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BB01105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3067050" cy="2044700"/>
            <wp:effectExtent l="0" t="0" r="0" b="0"/>
            <wp:wrapThrough wrapText="bothSides">
              <wp:wrapPolygon edited="0">
                <wp:start x="0" y="0"/>
                <wp:lineTo x="0" y="21332"/>
                <wp:lineTo x="21466" y="21332"/>
                <wp:lineTo x="21466" y="0"/>
                <wp:lineTo x="0" y="0"/>
              </wp:wrapPolygon>
            </wp:wrapThrough>
            <wp:docPr id="5" name="Рисунок 5" descr="https://wjtoday.ru/wp-content/uploads/2015/04/1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jtoday.ru/wp-content/uploads/2015/04/1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0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color w:val="000000"/>
        </w:rPr>
        <w:t>в любом сочетании и все же употребляются не всегда верно и один звук подменяется другим.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Дети не отличают новый звук от некоторых сходных с ним звуков и путают их (вместо сушка – «шушка», вместо Саша – «Шаша»).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Для дифференциации звука эффективен прием сравнения двух артикуляционных укладов и установление их различия. При сопоставлении двух звуков не следует сравнивать правильный звук с его искаженным вариантом.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Рекомендуется проводить занятия по дифференциации звуков с использованием доступного детям игрового материала. Так, можно подобрать картинки по категориям: одежда, обувь, игрушки, цветы, овощи и т.д. В названиях предметов чередуются смешиваемые звуки (вишня – слива). Сначала детям дают две картинки, потом, усложняя игру, количество картинок доводят до трех-четырех (шуба – сапоги – шапка; кошка – собака – лошадь – свинья). Далее детям предлагают отдельные пары слов, которые обозначают предметы, не принадлежащие к одной группе. Фонетически эти слова различаются по одному звуку (усы - уши, мышь – мыс). Вначале в слове один из дифференцируемых звуков, затем оба звука (руль, орел, стрела, Лариса), далее – словосочетание, предложение (У Веры ручка лучше, чем у меня), потешки, пословицы, стихи («Прилетели голуби, сели возле проруби», «Зайка летом серый, зимой белый») Можно проводить упражнения и без картинок, на одном только словарном материале (нос – нож, коза – кожа, Юра – юла, коробка – колобок). Использование этих слов возможно в игре или разговоре: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Как позовешь кошку? – Кис-кис!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Как прогонишь воробья с огорода? – Кыш-кыш!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Благодаря таким упражнениям дети начинают быстрее и лучше улавливать смысловую разницу между словами. Затем переходят к заучиванию стихов, чистоговорок, содержащих те или другие звуки, нужные для дифференциации.</w:t>
      </w:r>
    </w:p>
    <w:p w:rsidR="00FA52A4" w:rsidRDefault="00BE0227">
      <w:pPr>
        <w:pStyle w:val="Standard"/>
        <w:ind w:firstLine="690"/>
        <w:jc w:val="both"/>
        <w:rPr>
          <w:color w:val="000000"/>
        </w:rPr>
      </w:pPr>
      <w:r>
        <w:rPr>
          <w:color w:val="000000"/>
        </w:rPr>
        <w:t>На всех этапах обучения звукопроизношению рекомендуются упражнения в форме игр: с картинками, игрушками, звукоподражанием, с элементами движений, с пением; чтение и заучивание стихов, прибауток, потешек, чистоговорок. Пересказ коротких рассказов и рассказывание по картинкам с учетом возраста и стоящих задач обучения начинается с этапа автоматизации звука.</w:t>
      </w:r>
    </w:p>
    <w:p w:rsidR="00FA52A4" w:rsidRDefault="00FA52A4">
      <w:pPr>
        <w:pStyle w:val="Standard"/>
        <w:ind w:firstLine="690"/>
        <w:jc w:val="both"/>
        <w:rPr>
          <w:color w:val="000000"/>
        </w:rPr>
      </w:pPr>
    </w:p>
    <w:p w:rsidR="00FA52A4" w:rsidRDefault="00BE0227">
      <w:pPr>
        <w:pStyle w:val="Standard"/>
        <w:jc w:val="center"/>
        <w:rPr>
          <w:color w:val="000000"/>
          <w:lang w:val="ru-RU"/>
        </w:rPr>
      </w:pPr>
      <w:r>
        <w:rPr>
          <w:color w:val="000000"/>
          <w:lang w:val="ru-RU"/>
        </w:rPr>
        <w:t>Литература</w:t>
      </w:r>
    </w:p>
    <w:p w:rsidR="00FA52A4" w:rsidRDefault="00BE0227">
      <w:pPr>
        <w:pStyle w:val="Standard"/>
        <w:ind w:firstLine="690"/>
        <w:jc w:val="both"/>
      </w:pPr>
      <w:r>
        <w:rPr>
          <w:color w:val="000000"/>
        </w:rPr>
        <w:t>Алексеева М.М., Яшина Б.И. Методика развития речи и обучения родному языку дошкольников: Учеб. пособие для студ. высш. и сред, пед. учеб. заведений. -- 3-е изд., стереотип. - М.: Издательский центр «Академия», 2000. - 400 с.</w:t>
      </w:r>
    </w:p>
    <w:sectPr w:rsidR="00FA52A4">
      <w:pgSz w:w="11905" w:h="16837"/>
      <w:pgMar w:top="1134" w:right="1134" w:bottom="1134" w:left="1725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E7679" w:rsidRDefault="006E7679">
      <w:r>
        <w:separator/>
      </w:r>
    </w:p>
  </w:endnote>
  <w:endnote w:type="continuationSeparator" w:id="0">
    <w:p w:rsidR="006E7679" w:rsidRDefault="006E76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PMincho"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E7679" w:rsidRDefault="006E7679">
      <w:r>
        <w:rPr>
          <w:color w:val="000000"/>
        </w:rPr>
        <w:separator/>
      </w:r>
    </w:p>
  </w:footnote>
  <w:footnote w:type="continuationSeparator" w:id="0">
    <w:p w:rsidR="006E7679" w:rsidRDefault="006E76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6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2A4"/>
    <w:rsid w:val="003B7987"/>
    <w:rsid w:val="004A7D6C"/>
    <w:rsid w:val="006E7679"/>
    <w:rsid w:val="00BE0227"/>
    <w:rsid w:val="00FA5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B8DBB1"/>
  <w15:docId w15:val="{2B7327C1-895A-4022-9A7E-71877BC7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ndale Sans UI" w:hAnsi="Times New Roman" w:cs="Tahoma"/>
        <w:kern w:val="3"/>
        <w:sz w:val="24"/>
        <w:szCs w:val="24"/>
        <w:lang w:val="de-DE" w:eastAsia="ja-JP" w:bidi="fa-IR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pPr>
      <w:suppressAutoHyphens/>
    </w:pPr>
  </w:style>
  <w:style w:type="paragraph" w:styleId="2">
    <w:name w:val="heading 2"/>
    <w:basedOn w:val="Heading"/>
    <w:next w:val="Textbody"/>
    <w:pPr>
      <w:outlineLvl w:val="1"/>
    </w:pPr>
    <w:rPr>
      <w:rFonts w:ascii="Times New Roman" w:eastAsia="MS PMincho" w:hAnsi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a3">
    <w:name w:val="List"/>
    <w:basedOn w:val="Textbody"/>
  </w:style>
  <w:style w:type="paragraph" w:styleId="a4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580</Words>
  <Characters>3307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Евгения Садик</cp:lastModifiedBy>
  <cp:revision>3</cp:revision>
  <dcterms:created xsi:type="dcterms:W3CDTF">2022-08-17T05:35:00Z</dcterms:created>
  <dcterms:modified xsi:type="dcterms:W3CDTF">2022-08-17T05:35:00Z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Info 4">
    <vt:lpwstr/>
  </property>
</Properties>
</file>